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E2646" w14:textId="77777777" w:rsidR="00057D2B" w:rsidRDefault="00057D2B" w:rsidP="00057D2B">
      <w:pPr>
        <w:pStyle w:val="Encadrfond"/>
      </w:pPr>
      <w:r w:rsidRPr="0008510E">
        <w:t>Enseignement scientifique</w:t>
      </w:r>
    </w:p>
    <w:p w14:paraId="126F16A9" w14:textId="77777777" w:rsidR="00057D2B" w:rsidRPr="0008510E" w:rsidRDefault="00057D2B" w:rsidP="00057D2B">
      <w:pPr>
        <w:pStyle w:val="Encadrfond"/>
      </w:pPr>
      <w:r w:rsidRPr="0008510E">
        <w:t xml:space="preserve">Niveau : première </w:t>
      </w:r>
    </w:p>
    <w:p w14:paraId="4AC512F5" w14:textId="77777777" w:rsidR="00057D2B" w:rsidRDefault="00057D2B" w:rsidP="00057D2B">
      <w:pPr>
        <w:pStyle w:val="Titredudocument"/>
        <w:jc w:val="center"/>
      </w:pPr>
      <w:r>
        <w:t>Les platistes et la Lune</w:t>
      </w:r>
    </w:p>
    <w:p w14:paraId="05751860" w14:textId="77777777" w:rsidR="00057D2B" w:rsidRDefault="00057D2B" w:rsidP="00057D2B">
      <w:pPr>
        <w:jc w:val="center"/>
      </w:pPr>
      <w:r>
        <w:t>Science, pseudoscience et réfutabilité</w:t>
      </w:r>
    </w:p>
    <w:p w14:paraId="62EAF191" w14:textId="77777777" w:rsidR="00057D2B" w:rsidRPr="0008510E" w:rsidRDefault="00057D2B" w:rsidP="00057D2B">
      <w:pPr>
        <w:pStyle w:val="Titre1"/>
      </w:pPr>
      <w:r>
        <w:rPr>
          <w:rStyle w:val="Titre2Car"/>
          <w:rFonts w:ascii="Marianne Medium" w:hAnsi="Marianne Medium"/>
          <w:color w:val="465F9D"/>
          <w:sz w:val="36"/>
          <w:szCs w:val="36"/>
        </w:rPr>
        <w:t>Fiche support d’activité élève</w:t>
      </w:r>
    </w:p>
    <w:p w14:paraId="6A422961" w14:textId="1CD59342" w:rsidR="00057D2B" w:rsidRPr="00FA5FEC" w:rsidRDefault="00057D2B" w:rsidP="00057D2B">
      <w:pPr>
        <w:pStyle w:val="Titre3"/>
        <w:numPr>
          <w:ilvl w:val="0"/>
          <w:numId w:val="4"/>
        </w:numPr>
        <w:rPr>
          <w:rFonts w:eastAsiaTheme="minorHAnsi"/>
        </w:rPr>
      </w:pPr>
      <w:r>
        <w:rPr>
          <w:rFonts w:eastAsiaTheme="minorHAnsi"/>
        </w:rPr>
        <w:t>É</w:t>
      </w:r>
      <w:r w:rsidRPr="00FA5FEC">
        <w:rPr>
          <w:rFonts w:eastAsiaTheme="minorHAnsi"/>
        </w:rPr>
        <w:t xml:space="preserve">tude du système Terre-Lune avec un modèle </w:t>
      </w:r>
      <w:r>
        <w:rPr>
          <w:rFonts w:eastAsiaTheme="minorHAnsi"/>
        </w:rPr>
        <w:t>dans lequel</w:t>
      </w:r>
      <w:r w:rsidRPr="00FA5FEC">
        <w:rPr>
          <w:rFonts w:eastAsiaTheme="minorHAnsi"/>
        </w:rPr>
        <w:t xml:space="preserve"> la Terre est sphérique</w:t>
      </w:r>
    </w:p>
    <w:p w14:paraId="073A690D" w14:textId="77777777" w:rsidR="00057D2B" w:rsidRPr="00BB36B3" w:rsidRDefault="00057D2B" w:rsidP="00057D2B">
      <w:pPr>
        <w:spacing w:before="120" w:after="120"/>
      </w:pPr>
      <w:r>
        <w:t>Dans cette partie, on étudie le modèle de la Terre « ronde » (ressource 1). Pour cela, o</w:t>
      </w:r>
      <w:r w:rsidRPr="00BB36B3">
        <w:t>n dispose d’un ballon d’exercice (Fit Ball)</w:t>
      </w:r>
      <w:r>
        <w:t xml:space="preserve"> et</w:t>
      </w:r>
      <w:r w:rsidRPr="00BB36B3">
        <w:t xml:space="preserve"> d’une balle de tennis de table modélisant respectivement la Terre et la Lune, et d’un téléphone portable </w:t>
      </w:r>
      <w:r>
        <w:t>entouré d’un élastique</w:t>
      </w:r>
      <w:r w:rsidRPr="00BB36B3">
        <w:t xml:space="preserve"> </w:t>
      </w:r>
      <w:r>
        <w:t>qui</w:t>
      </w:r>
      <w:r w:rsidRPr="00BB36B3">
        <w:t xml:space="preserve"> modélise la verticale du lieu.</w:t>
      </w:r>
      <w:r>
        <w:t xml:space="preserve"> La balle modélisant la Lune est à moitié peinte en noir.</w:t>
      </w:r>
    </w:p>
    <w:p w14:paraId="66DCC008" w14:textId="77777777" w:rsidR="00057D2B" w:rsidRDefault="00057D2B" w:rsidP="00057D2B">
      <w:pPr>
        <w:pStyle w:val="NormalWeb"/>
        <w:rPr>
          <w:rFonts w:eastAsiaTheme="minorHAnsi"/>
        </w:rPr>
      </w:pPr>
      <w:r>
        <w:rPr>
          <w:noProof/>
          <w:lang w:eastAsia="zh-CN"/>
        </w:rPr>
        <w:drawing>
          <wp:inline distT="0" distB="0" distL="0" distR="0" wp14:anchorId="2187E25E" wp14:editId="7503E545">
            <wp:extent cx="5505450" cy="246185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505450" cy="2461855"/>
                    </a:xfrm>
                    <a:prstGeom prst="rect">
                      <a:avLst/>
                    </a:prstGeom>
                  </pic:spPr>
                </pic:pic>
              </a:graphicData>
            </a:graphic>
          </wp:inline>
        </w:drawing>
      </w:r>
    </w:p>
    <w:p w14:paraId="3DBFE878" w14:textId="77777777" w:rsidR="00057D2B" w:rsidRDefault="00057D2B" w:rsidP="00057D2B">
      <w:pPr>
        <w:spacing w:beforeLines="160" w:before="384" w:beforeAutospacing="0" w:afterLines="160" w:after="384" w:afterAutospacing="0"/>
        <w:rPr>
          <w:rFonts w:eastAsiaTheme="minorHAnsi"/>
        </w:rPr>
      </w:pPr>
      <w:r w:rsidRPr="00A31D3D">
        <w:rPr>
          <w:rFonts w:eastAsiaTheme="minorHAnsi"/>
        </w:rPr>
        <w:t>Disposer le ballon et la balle comme indiqué sur le schéma ci-dessus : la balle est tenue par un élève, devant le ballon, à peu près à la même hauteur que le téléphone.</w:t>
      </w:r>
    </w:p>
    <w:p w14:paraId="06461D36" w14:textId="77777777" w:rsidR="00057D2B" w:rsidRPr="00A31D3D" w:rsidRDefault="00057D2B" w:rsidP="00057D2B">
      <w:pPr>
        <w:spacing w:beforeLines="160" w:before="384" w:beforeAutospacing="0" w:afterLines="160" w:after="384" w:afterAutospacing="0"/>
        <w:rPr>
          <w:rFonts w:eastAsiaTheme="minorHAnsi"/>
        </w:rPr>
      </w:pPr>
      <w:r w:rsidRPr="00A31D3D">
        <w:rPr>
          <w:rFonts w:eastAsiaTheme="minorHAnsi"/>
        </w:rPr>
        <w:t xml:space="preserve">Ouvrir l’application « photo » du téléphone et le placer au niveau du </w:t>
      </w:r>
      <w:r>
        <w:rPr>
          <w:rFonts w:eastAsiaTheme="minorHAnsi"/>
        </w:rPr>
        <w:t>p</w:t>
      </w:r>
      <w:r w:rsidRPr="00A31D3D">
        <w:rPr>
          <w:rFonts w:eastAsiaTheme="minorHAnsi"/>
        </w:rPr>
        <w:t>ôle Nord figuré sur le ballon, face à la balle de tennis de table.</w:t>
      </w:r>
    </w:p>
    <w:p w14:paraId="4ADB5D62" w14:textId="77777777" w:rsidR="00057D2B" w:rsidRDefault="00057D2B" w:rsidP="00057D2B">
      <w:pPr>
        <w:pStyle w:val="Paragraphedeliste"/>
        <w:numPr>
          <w:ilvl w:val="0"/>
          <w:numId w:val="2"/>
        </w:numPr>
        <w:spacing w:beforeLines="160" w:before="384" w:beforeAutospacing="0" w:afterLines="160" w:after="384" w:afterAutospacing="0"/>
        <w:ind w:left="714" w:hanging="357"/>
        <w:contextualSpacing w:val="0"/>
        <w:rPr>
          <w:rFonts w:eastAsiaTheme="minorHAnsi"/>
        </w:rPr>
      </w:pPr>
      <w:r>
        <w:rPr>
          <w:rFonts w:eastAsiaTheme="minorHAnsi"/>
        </w:rPr>
        <w:t>P</w:t>
      </w:r>
      <w:r w:rsidRPr="00FA5FEC">
        <w:rPr>
          <w:rFonts w:eastAsiaTheme="minorHAnsi"/>
        </w:rPr>
        <w:t>our les</w:t>
      </w:r>
      <w:r>
        <w:rPr>
          <w:rFonts w:eastAsiaTheme="minorHAnsi"/>
        </w:rPr>
        <w:t xml:space="preserve"> lieux </w:t>
      </w:r>
      <w:r>
        <w:rPr>
          <w:rFonts w:eastAsiaTheme="minorHAnsi"/>
        </w:rPr>
        <w:sym w:font="Wingdings" w:char="F08D"/>
      </w:r>
      <w:r>
        <w:rPr>
          <w:rFonts w:eastAsiaTheme="minorHAnsi"/>
        </w:rPr>
        <w:t xml:space="preserve">, </w:t>
      </w:r>
      <w:r>
        <w:rPr>
          <w:rFonts w:eastAsiaTheme="minorHAnsi"/>
        </w:rPr>
        <w:sym w:font="Wingdings" w:char="F08E"/>
      </w:r>
      <w:r>
        <w:rPr>
          <w:rFonts w:eastAsiaTheme="minorHAnsi"/>
        </w:rPr>
        <w:t xml:space="preserve"> et </w:t>
      </w:r>
      <w:r>
        <w:rPr>
          <w:rFonts w:eastAsiaTheme="minorHAnsi"/>
        </w:rPr>
        <w:sym w:font="Wingdings" w:char="F08F"/>
      </w:r>
      <w:r w:rsidRPr="002D5C43">
        <w:rPr>
          <w:rFonts w:eastAsiaTheme="minorHAnsi"/>
        </w:rPr>
        <w:t xml:space="preserve"> </w:t>
      </w:r>
      <w:r>
        <w:rPr>
          <w:rFonts w:eastAsiaTheme="minorHAnsi"/>
        </w:rPr>
        <w:t>indiqués sur le schéma ci-dessous, p</w:t>
      </w:r>
      <w:r>
        <w:rPr>
          <w:rFonts w:eastAsiaTheme="minorHAnsi"/>
          <w:noProof/>
        </w:rPr>
        <w:t>révoir</w:t>
      </w:r>
      <w:r>
        <w:rPr>
          <w:rFonts w:eastAsiaTheme="minorHAnsi"/>
        </w:rPr>
        <w:t xml:space="preserve"> l’orientation du croissant de Lune </w:t>
      </w:r>
      <w:r w:rsidRPr="009D6622">
        <w:rPr>
          <w:rFonts w:eastAsiaTheme="minorHAnsi"/>
        </w:rPr>
        <w:t xml:space="preserve">observé </w:t>
      </w:r>
      <w:r w:rsidRPr="0005246B">
        <w:rPr>
          <w:rFonts w:eastAsiaTheme="minorHAnsi"/>
          <w:b/>
        </w:rPr>
        <w:t>par rapport à la verticale</w:t>
      </w:r>
      <w:r w:rsidRPr="009D6622">
        <w:rPr>
          <w:rFonts w:eastAsiaTheme="minorHAnsi"/>
        </w:rPr>
        <w:t>.</w:t>
      </w:r>
      <w:r>
        <w:rPr>
          <w:rFonts w:eastAsiaTheme="minorHAnsi"/>
        </w:rPr>
        <w:t xml:space="preserve"> </w:t>
      </w:r>
    </w:p>
    <w:p w14:paraId="5C9A5E5A" w14:textId="77777777" w:rsidR="00057D2B" w:rsidRPr="00204BA1" w:rsidRDefault="00057D2B" w:rsidP="00057D2B">
      <w:pPr>
        <w:spacing w:beforeLines="160" w:before="384" w:beforeAutospacing="0" w:afterLines="160" w:after="384" w:afterAutospacing="0"/>
        <w:ind w:left="357"/>
        <w:rPr>
          <w:rFonts w:eastAsiaTheme="minorHAnsi"/>
        </w:rPr>
      </w:pPr>
      <w:r>
        <w:rPr>
          <w:noProof/>
          <w:lang w:eastAsia="zh-CN"/>
        </w:rPr>
        <w:lastRenderedPageBreak/>
        <w:drawing>
          <wp:inline distT="0" distB="0" distL="0" distR="0" wp14:anchorId="317F7FF4" wp14:editId="035C7F19">
            <wp:extent cx="3971925" cy="3006007"/>
            <wp:effectExtent l="0" t="0" r="0" b="4445"/>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2158" cy="3021320"/>
                    </a:xfrm>
                    <a:prstGeom prst="rect">
                      <a:avLst/>
                    </a:prstGeom>
                  </pic:spPr>
                </pic:pic>
              </a:graphicData>
            </a:graphic>
          </wp:inline>
        </w:drawing>
      </w:r>
    </w:p>
    <w:p w14:paraId="29229629" w14:textId="77777777" w:rsidR="00057D2B" w:rsidRDefault="00057D2B" w:rsidP="00057D2B">
      <w:pPr>
        <w:pStyle w:val="Paragraphedeliste"/>
        <w:numPr>
          <w:ilvl w:val="0"/>
          <w:numId w:val="2"/>
        </w:numPr>
        <w:spacing w:beforeLines="160" w:before="384" w:beforeAutospacing="0" w:afterLines="160" w:after="384" w:afterAutospacing="0"/>
        <w:ind w:left="714" w:hanging="357"/>
        <w:contextualSpacing w:val="0"/>
        <w:rPr>
          <w:rFonts w:eastAsiaTheme="minorHAnsi"/>
        </w:rPr>
      </w:pPr>
      <w:r>
        <w:rPr>
          <w:rFonts w:eastAsiaTheme="minorHAnsi"/>
        </w:rPr>
        <w:t>Sur le schéma ci-dessus, dessiner chacun des croissants sur les écrans de téléphone.</w:t>
      </w:r>
    </w:p>
    <w:p w14:paraId="2EE77937" w14:textId="77777777" w:rsidR="00057D2B" w:rsidRDefault="00057D2B" w:rsidP="00057D2B">
      <w:pPr>
        <w:pStyle w:val="Paragraphedeliste"/>
        <w:numPr>
          <w:ilvl w:val="0"/>
          <w:numId w:val="2"/>
        </w:numPr>
        <w:spacing w:beforeLines="160" w:before="384" w:beforeAutospacing="0" w:afterLines="160" w:after="384" w:afterAutospacing="0"/>
        <w:ind w:left="714" w:hanging="357"/>
        <w:contextualSpacing w:val="0"/>
        <w:rPr>
          <w:rFonts w:eastAsiaTheme="minorHAnsi"/>
        </w:rPr>
      </w:pPr>
      <w:r>
        <w:rPr>
          <w:rFonts w:eastAsiaTheme="minorHAnsi"/>
        </w:rPr>
        <w:t>Reproduire ces dessins sur les écrans représentés ci-dessous en respectant l’orientation par rapport à la verticale.</w:t>
      </w:r>
    </w:p>
    <w:p w14:paraId="0121F00D" w14:textId="77777777" w:rsidR="00057D2B" w:rsidRPr="002D5C43" w:rsidRDefault="00057D2B" w:rsidP="00057D2B">
      <w:pPr>
        <w:spacing w:beforeLines="160" w:before="384" w:beforeAutospacing="0" w:afterLines="160" w:after="384" w:afterAutospacing="0"/>
        <w:rPr>
          <w:rFonts w:eastAsiaTheme="minorHAnsi"/>
        </w:rPr>
      </w:pPr>
      <w:r>
        <w:rPr>
          <w:noProof/>
          <w:lang w:eastAsia="zh-CN"/>
        </w:rPr>
        <w:drawing>
          <wp:inline distT="0" distB="0" distL="0" distR="0" wp14:anchorId="0E849230" wp14:editId="0EE90672">
            <wp:extent cx="3448050" cy="1128122"/>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67951" cy="1134633"/>
                    </a:xfrm>
                    <a:prstGeom prst="rect">
                      <a:avLst/>
                    </a:prstGeom>
                  </pic:spPr>
                </pic:pic>
              </a:graphicData>
            </a:graphic>
          </wp:inline>
        </w:drawing>
      </w:r>
    </w:p>
    <w:p w14:paraId="0E02D7A0" w14:textId="77777777" w:rsidR="00057D2B" w:rsidRDefault="00057D2B" w:rsidP="00057D2B">
      <w:pPr>
        <w:spacing w:beforeLines="160" w:before="384" w:beforeAutospacing="0" w:afterLines="160" w:after="384" w:afterAutospacing="0"/>
        <w:rPr>
          <w:rFonts w:eastAsiaTheme="minorHAnsi"/>
        </w:rPr>
      </w:pPr>
      <w:r w:rsidRPr="00A31D3D">
        <w:rPr>
          <w:rFonts w:eastAsiaTheme="minorHAnsi"/>
        </w:rPr>
        <w:t>Déclencher l’enregistrement vidéo, puis, tout en maintenant le téléphone portable face à la balle, le faire glisser vers l’équateur comme indiqué sur le</w:t>
      </w:r>
      <w:r>
        <w:rPr>
          <w:rFonts w:eastAsiaTheme="minorHAnsi"/>
        </w:rPr>
        <w:t xml:space="preserve"> schéma représenté plus haut.</w:t>
      </w:r>
      <w:r w:rsidRPr="00A31D3D">
        <w:rPr>
          <w:rFonts w:eastAsiaTheme="minorHAnsi"/>
        </w:rPr>
        <w:t xml:space="preserve"> </w:t>
      </w:r>
      <w:r>
        <w:rPr>
          <w:rFonts w:eastAsiaTheme="minorHAnsi"/>
        </w:rPr>
        <w:t>Comparer l’enregistrement avec les prévisions effectuées à partir du modèle sphérique de la Terre utilisé.</w:t>
      </w:r>
    </w:p>
    <w:p w14:paraId="1E16D1BF" w14:textId="3D2E18DB" w:rsidR="00057D2B" w:rsidRPr="00FA5FEC" w:rsidRDefault="00057D2B" w:rsidP="00057D2B">
      <w:pPr>
        <w:pStyle w:val="Titre3"/>
        <w:numPr>
          <w:ilvl w:val="0"/>
          <w:numId w:val="4"/>
        </w:numPr>
        <w:rPr>
          <w:rFonts w:eastAsiaTheme="minorHAnsi"/>
        </w:rPr>
      </w:pPr>
      <w:r>
        <w:rPr>
          <w:rFonts w:eastAsiaTheme="minorHAnsi"/>
        </w:rPr>
        <w:t>É</w:t>
      </w:r>
      <w:r w:rsidRPr="00FA5FEC">
        <w:rPr>
          <w:rFonts w:eastAsiaTheme="minorHAnsi"/>
        </w:rPr>
        <w:t>tude du système Terre-Lune avec un modèle de la Terre plate</w:t>
      </w:r>
    </w:p>
    <w:p w14:paraId="6C794957" w14:textId="65092713" w:rsidR="00057D2B" w:rsidRDefault="00057D2B" w:rsidP="00057D2B">
      <w:pPr>
        <w:spacing w:before="120" w:after="120"/>
      </w:pPr>
      <w:r>
        <w:t>Dans cette partie, on étudie le modèle de la Terre plate (</w:t>
      </w:r>
      <w:r>
        <w:t>support</w:t>
      </w:r>
      <w:r>
        <w:t xml:space="preserve"> 2). Pour cela, o</w:t>
      </w:r>
      <w:r w:rsidRPr="00BB36B3">
        <w:t>n dispose d’une table modélisant la Terre plate</w:t>
      </w:r>
      <w:r>
        <w:t xml:space="preserve"> et</w:t>
      </w:r>
      <w:r w:rsidRPr="00BB36B3">
        <w:t xml:space="preserve"> d’une balle de tennis de table modélisant respectivement la Terre et la Lune, et d’un téléphone portable sur lequel un morceau de </w:t>
      </w:r>
      <w:r>
        <w:t>ruban adhésif</w:t>
      </w:r>
      <w:r w:rsidRPr="00BB36B3">
        <w:t xml:space="preserve"> aura été collé pour modéliser la verticale du lieu.</w:t>
      </w:r>
    </w:p>
    <w:p w14:paraId="03FF729A" w14:textId="77777777" w:rsidR="00057D2B" w:rsidRPr="00BB36B3" w:rsidRDefault="00057D2B" w:rsidP="00057D2B">
      <w:pPr>
        <w:spacing w:before="120" w:after="120"/>
      </w:pPr>
      <w:r>
        <w:rPr>
          <w:noProof/>
          <w:lang w:eastAsia="zh-CN"/>
        </w:rPr>
        <w:lastRenderedPageBreak/>
        <w:drawing>
          <wp:inline distT="0" distB="0" distL="0" distR="0" wp14:anchorId="1CA8F013" wp14:editId="180EC645">
            <wp:extent cx="5829163" cy="1266825"/>
            <wp:effectExtent l="0" t="0" r="63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59195" cy="1273352"/>
                    </a:xfrm>
                    <a:prstGeom prst="rect">
                      <a:avLst/>
                    </a:prstGeom>
                  </pic:spPr>
                </pic:pic>
              </a:graphicData>
            </a:graphic>
          </wp:inline>
        </w:drawing>
      </w:r>
    </w:p>
    <w:p w14:paraId="79DC2DAC" w14:textId="77777777" w:rsidR="00057D2B" w:rsidRDefault="00057D2B" w:rsidP="00057D2B">
      <w:pPr>
        <w:spacing w:beforeLines="160" w:before="384" w:beforeAutospacing="0" w:afterLines="160" w:after="384" w:afterAutospacing="0"/>
        <w:rPr>
          <w:rStyle w:val="Marquedecommentaire"/>
        </w:rPr>
      </w:pPr>
      <w:r w:rsidRPr="00A31D3D">
        <w:rPr>
          <w:rFonts w:eastAsiaTheme="minorHAnsi" w:cstheme="minorBidi"/>
          <w:color w:val="auto"/>
        </w:rPr>
        <w:t xml:space="preserve">Disposer la table et la balle comme indiqué sur la photographie ci-dessus </w:t>
      </w:r>
      <w:r w:rsidRPr="00A31D3D">
        <w:rPr>
          <w:rFonts w:eastAsiaTheme="minorHAnsi"/>
        </w:rPr>
        <w:t>: la balle est tenue par un élève, devant la table, à peu près à la même hauteur que le téléphone</w:t>
      </w:r>
      <w:r w:rsidRPr="00A31D3D">
        <w:rPr>
          <w:rFonts w:eastAsiaTheme="minorHAnsi" w:cstheme="minorBidi"/>
          <w:color w:val="auto"/>
        </w:rPr>
        <w:t>.</w:t>
      </w:r>
    </w:p>
    <w:p w14:paraId="0ED11460" w14:textId="77777777" w:rsidR="00057D2B" w:rsidRPr="00A31D3D" w:rsidRDefault="00057D2B" w:rsidP="00057D2B">
      <w:pPr>
        <w:spacing w:beforeLines="160" w:before="384" w:beforeAutospacing="0" w:afterLines="160" w:after="384" w:afterAutospacing="0"/>
        <w:rPr>
          <w:rFonts w:eastAsiaTheme="minorHAnsi" w:cstheme="minorBidi"/>
          <w:color w:val="auto"/>
        </w:rPr>
      </w:pPr>
      <w:r w:rsidRPr="00A31D3D">
        <w:rPr>
          <w:rFonts w:eastAsiaTheme="minorHAnsi"/>
        </w:rPr>
        <w:t xml:space="preserve">Ouvrir l’application </w:t>
      </w:r>
      <w:r>
        <w:rPr>
          <w:rFonts w:eastAsiaTheme="minorHAnsi"/>
        </w:rPr>
        <w:t>«</w:t>
      </w:r>
      <w:r>
        <w:rPr>
          <w:rFonts w:ascii="Calibri" w:eastAsiaTheme="minorHAnsi" w:hAnsi="Calibri" w:cs="Calibri"/>
        </w:rPr>
        <w:t> </w:t>
      </w:r>
      <w:r>
        <w:rPr>
          <w:rFonts w:eastAsiaTheme="minorHAnsi"/>
        </w:rPr>
        <w:t>p</w:t>
      </w:r>
      <w:r w:rsidRPr="00A31D3D">
        <w:rPr>
          <w:rFonts w:eastAsiaTheme="minorHAnsi"/>
        </w:rPr>
        <w:t>hoto</w:t>
      </w:r>
      <w:r>
        <w:rPr>
          <w:rFonts w:ascii="Calibri" w:eastAsiaTheme="minorHAnsi" w:hAnsi="Calibri" w:cs="Calibri"/>
        </w:rPr>
        <w:t> </w:t>
      </w:r>
      <w:r>
        <w:rPr>
          <w:rFonts w:eastAsiaTheme="minorHAnsi" w:cs="Marianne"/>
        </w:rPr>
        <w:t>»</w:t>
      </w:r>
      <w:r w:rsidRPr="00A31D3D">
        <w:rPr>
          <w:rFonts w:eastAsiaTheme="minorHAnsi"/>
        </w:rPr>
        <w:t xml:space="preserve"> du téléphone et le placer au niveau du </w:t>
      </w:r>
      <w:r>
        <w:rPr>
          <w:rFonts w:eastAsiaTheme="minorHAnsi"/>
        </w:rPr>
        <w:t>p</w:t>
      </w:r>
      <w:r w:rsidRPr="00A31D3D">
        <w:rPr>
          <w:rFonts w:eastAsiaTheme="minorHAnsi"/>
        </w:rPr>
        <w:t>ôle Nord figuré sur le ballon, face à la balle de tennis de table.</w:t>
      </w:r>
    </w:p>
    <w:p w14:paraId="06076824" w14:textId="77777777" w:rsidR="00057D2B" w:rsidRDefault="00057D2B" w:rsidP="00057D2B">
      <w:pPr>
        <w:pStyle w:val="Paragraphedeliste"/>
        <w:numPr>
          <w:ilvl w:val="0"/>
          <w:numId w:val="3"/>
        </w:numPr>
        <w:spacing w:beforeLines="160" w:before="384" w:beforeAutospacing="0" w:afterLines="160" w:after="384" w:afterAutospacing="0"/>
        <w:contextualSpacing w:val="0"/>
        <w:rPr>
          <w:rFonts w:eastAsiaTheme="minorHAnsi"/>
        </w:rPr>
      </w:pPr>
      <w:r>
        <w:rPr>
          <w:rFonts w:eastAsiaTheme="minorHAnsi"/>
        </w:rPr>
        <w:t>P</w:t>
      </w:r>
      <w:r w:rsidRPr="00FA5FEC">
        <w:rPr>
          <w:rFonts w:eastAsiaTheme="minorHAnsi"/>
        </w:rPr>
        <w:t>our les</w:t>
      </w:r>
      <w:r>
        <w:rPr>
          <w:rFonts w:eastAsiaTheme="minorHAnsi"/>
        </w:rPr>
        <w:t xml:space="preserve"> lieux </w:t>
      </w:r>
      <w:r>
        <w:rPr>
          <w:rFonts w:eastAsiaTheme="minorHAnsi"/>
        </w:rPr>
        <w:sym w:font="Wingdings" w:char="F08D"/>
      </w:r>
      <w:r>
        <w:rPr>
          <w:rFonts w:eastAsiaTheme="minorHAnsi"/>
        </w:rPr>
        <w:t xml:space="preserve">, </w:t>
      </w:r>
      <w:r>
        <w:rPr>
          <w:rFonts w:eastAsiaTheme="minorHAnsi"/>
        </w:rPr>
        <w:sym w:font="Wingdings" w:char="F08E"/>
      </w:r>
      <w:r>
        <w:rPr>
          <w:rFonts w:eastAsiaTheme="minorHAnsi"/>
        </w:rPr>
        <w:t xml:space="preserve"> et </w:t>
      </w:r>
      <w:r>
        <w:rPr>
          <w:rFonts w:eastAsiaTheme="minorHAnsi"/>
        </w:rPr>
        <w:sym w:font="Wingdings" w:char="F08F"/>
      </w:r>
      <w:r w:rsidRPr="002D5C43">
        <w:rPr>
          <w:rFonts w:eastAsiaTheme="minorHAnsi"/>
        </w:rPr>
        <w:t xml:space="preserve"> </w:t>
      </w:r>
      <w:r>
        <w:rPr>
          <w:rFonts w:eastAsiaTheme="minorHAnsi"/>
        </w:rPr>
        <w:t>indiqués sur le schéma ci-dessous, p</w:t>
      </w:r>
      <w:r>
        <w:rPr>
          <w:rFonts w:eastAsiaTheme="minorHAnsi"/>
          <w:noProof/>
        </w:rPr>
        <w:t>révoir</w:t>
      </w:r>
      <w:r>
        <w:rPr>
          <w:rFonts w:eastAsiaTheme="minorHAnsi"/>
        </w:rPr>
        <w:t xml:space="preserve"> l’orientation du croissant de Lune </w:t>
      </w:r>
      <w:r w:rsidRPr="009D6622">
        <w:rPr>
          <w:rFonts w:eastAsiaTheme="minorHAnsi"/>
        </w:rPr>
        <w:t xml:space="preserve">observé </w:t>
      </w:r>
      <w:r w:rsidRPr="0005246B">
        <w:rPr>
          <w:rFonts w:eastAsiaTheme="minorHAnsi"/>
          <w:b/>
        </w:rPr>
        <w:t>par rapport à la verticale</w:t>
      </w:r>
      <w:r w:rsidRPr="009D6622">
        <w:rPr>
          <w:rFonts w:eastAsiaTheme="minorHAnsi"/>
        </w:rPr>
        <w:t>.</w:t>
      </w:r>
      <w:r>
        <w:rPr>
          <w:rFonts w:eastAsiaTheme="minorHAnsi"/>
        </w:rPr>
        <w:t xml:space="preserve"> </w:t>
      </w:r>
    </w:p>
    <w:p w14:paraId="6532E892" w14:textId="77777777" w:rsidR="00057D2B" w:rsidRDefault="00057D2B" w:rsidP="00057D2B">
      <w:pPr>
        <w:pStyle w:val="Paragraphedeliste"/>
        <w:spacing w:beforeLines="160" w:before="384" w:beforeAutospacing="0" w:afterLines="160" w:after="384" w:afterAutospacing="0"/>
        <w:ind w:left="0"/>
        <w:contextualSpacing w:val="0"/>
        <w:rPr>
          <w:rFonts w:eastAsiaTheme="minorHAnsi"/>
        </w:rPr>
      </w:pPr>
      <w:r>
        <w:rPr>
          <w:noProof/>
          <w:lang w:eastAsia="zh-CN"/>
        </w:rPr>
        <w:drawing>
          <wp:inline distT="0" distB="0" distL="0" distR="0" wp14:anchorId="09D915D8" wp14:editId="6827AB99">
            <wp:extent cx="4295775" cy="2018093"/>
            <wp:effectExtent l="0" t="0" r="0" b="127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07334" cy="2023523"/>
                    </a:xfrm>
                    <a:prstGeom prst="rect">
                      <a:avLst/>
                    </a:prstGeom>
                  </pic:spPr>
                </pic:pic>
              </a:graphicData>
            </a:graphic>
          </wp:inline>
        </w:drawing>
      </w:r>
    </w:p>
    <w:p w14:paraId="6D110B6B" w14:textId="77777777" w:rsidR="00057D2B" w:rsidRDefault="00057D2B" w:rsidP="00057D2B">
      <w:pPr>
        <w:pStyle w:val="Paragraphedeliste"/>
        <w:numPr>
          <w:ilvl w:val="0"/>
          <w:numId w:val="3"/>
        </w:numPr>
        <w:spacing w:beforeLines="160" w:before="384" w:beforeAutospacing="0" w:afterLines="160" w:after="384" w:afterAutospacing="0"/>
        <w:ind w:left="714" w:hanging="357"/>
        <w:contextualSpacing w:val="0"/>
        <w:rPr>
          <w:rFonts w:eastAsiaTheme="minorHAnsi"/>
        </w:rPr>
      </w:pPr>
      <w:r>
        <w:rPr>
          <w:rFonts w:eastAsiaTheme="minorHAnsi"/>
        </w:rPr>
        <w:t>Sur le schéma ci-dessus, dessiner chacun des croissants sur les écrans de téléphone.</w:t>
      </w:r>
    </w:p>
    <w:p w14:paraId="41EFF4AB" w14:textId="77777777" w:rsidR="00057D2B" w:rsidRDefault="00057D2B" w:rsidP="00057D2B">
      <w:pPr>
        <w:pStyle w:val="Paragraphedeliste"/>
        <w:numPr>
          <w:ilvl w:val="0"/>
          <w:numId w:val="3"/>
        </w:numPr>
        <w:spacing w:beforeLines="160" w:before="384" w:beforeAutospacing="0" w:afterLines="160" w:after="384" w:afterAutospacing="0"/>
        <w:ind w:left="714" w:hanging="357"/>
        <w:contextualSpacing w:val="0"/>
        <w:rPr>
          <w:rFonts w:eastAsiaTheme="minorHAnsi"/>
        </w:rPr>
      </w:pPr>
      <w:r>
        <w:rPr>
          <w:rFonts w:eastAsiaTheme="minorHAnsi"/>
        </w:rPr>
        <w:t>Reproduire ces dessins sur les écrans représentés ci-dessous en respectant l’orientation par rapport à la verticale :</w:t>
      </w:r>
    </w:p>
    <w:p w14:paraId="2D8A1412" w14:textId="77777777" w:rsidR="00057D2B" w:rsidRPr="002D5C43" w:rsidRDefault="00057D2B" w:rsidP="00057D2B">
      <w:pPr>
        <w:spacing w:beforeLines="160" w:before="384" w:beforeAutospacing="0" w:afterLines="160" w:after="384" w:afterAutospacing="0"/>
        <w:rPr>
          <w:rFonts w:eastAsiaTheme="minorHAnsi"/>
        </w:rPr>
      </w:pPr>
      <w:r>
        <w:rPr>
          <w:noProof/>
          <w:lang w:eastAsia="zh-CN"/>
        </w:rPr>
        <w:drawing>
          <wp:inline distT="0" distB="0" distL="0" distR="0" wp14:anchorId="54EF0C42" wp14:editId="71B62D98">
            <wp:extent cx="3609975" cy="1181100"/>
            <wp:effectExtent l="0" t="0" r="9525"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9975" cy="1181100"/>
                    </a:xfrm>
                    <a:prstGeom prst="rect">
                      <a:avLst/>
                    </a:prstGeom>
                  </pic:spPr>
                </pic:pic>
              </a:graphicData>
            </a:graphic>
          </wp:inline>
        </w:drawing>
      </w:r>
    </w:p>
    <w:p w14:paraId="2530C91D" w14:textId="77777777" w:rsidR="00057D2B" w:rsidRPr="009C67E5" w:rsidRDefault="00057D2B" w:rsidP="00057D2B">
      <w:pPr>
        <w:spacing w:beforeLines="160" w:before="384" w:beforeAutospacing="0" w:afterLines="160" w:after="384" w:afterAutospacing="0"/>
        <w:rPr>
          <w:rFonts w:eastAsiaTheme="minorHAnsi"/>
        </w:rPr>
      </w:pPr>
      <w:r w:rsidRPr="009C67E5">
        <w:rPr>
          <w:rFonts w:eastAsiaTheme="minorHAnsi"/>
        </w:rPr>
        <w:lastRenderedPageBreak/>
        <w:t>Déclencher l’enregistrement vidéo, puis, tout en maintenant le téléphone portable face à la balle, le faire glisser aux différents endroits comme indiqué sur le schéma</w:t>
      </w:r>
      <w:r>
        <w:rPr>
          <w:rFonts w:eastAsiaTheme="minorHAnsi"/>
        </w:rPr>
        <w:t xml:space="preserve"> donné plus haut.</w:t>
      </w:r>
      <w:r w:rsidRPr="009C67E5">
        <w:rPr>
          <w:rFonts w:eastAsiaTheme="minorHAnsi"/>
        </w:rPr>
        <w:t xml:space="preserve"> </w:t>
      </w:r>
    </w:p>
    <w:p w14:paraId="5BA01774" w14:textId="77777777" w:rsidR="00057D2B" w:rsidRPr="00256190" w:rsidRDefault="00057D2B" w:rsidP="00057D2B">
      <w:pPr>
        <w:pStyle w:val="Paragraphedeliste"/>
        <w:numPr>
          <w:ilvl w:val="0"/>
          <w:numId w:val="3"/>
        </w:numPr>
        <w:spacing w:beforeLines="160" w:before="384" w:beforeAutospacing="0" w:afterLines="160" w:after="384" w:afterAutospacing="0"/>
        <w:contextualSpacing w:val="0"/>
        <w:rPr>
          <w:rFonts w:eastAsiaTheme="minorHAnsi"/>
        </w:rPr>
      </w:pPr>
      <w:r>
        <w:rPr>
          <w:rFonts w:eastAsiaTheme="minorHAnsi"/>
        </w:rPr>
        <w:t>Comparer l’enregistrement avec les prévisions effectuées à partir du modèle de la Terre plate.</w:t>
      </w:r>
    </w:p>
    <w:p w14:paraId="27B0A6A4" w14:textId="77777777" w:rsidR="00057D2B" w:rsidRPr="00FA5FEC" w:rsidRDefault="00057D2B" w:rsidP="00057D2B">
      <w:pPr>
        <w:pStyle w:val="Paragraphedeliste"/>
        <w:numPr>
          <w:ilvl w:val="0"/>
          <w:numId w:val="4"/>
        </w:numPr>
        <w:spacing w:beforeLines="160" w:before="384" w:beforeAutospacing="0" w:afterLines="160" w:after="384" w:afterAutospacing="0"/>
        <w:contextualSpacing w:val="0"/>
        <w:rPr>
          <w:rFonts w:eastAsiaTheme="minorHAnsi"/>
          <w:b/>
        </w:rPr>
      </w:pPr>
      <w:r w:rsidRPr="00FA5FEC">
        <w:rPr>
          <w:rFonts w:eastAsiaTheme="minorHAnsi"/>
          <w:b/>
        </w:rPr>
        <w:t xml:space="preserve">Confrontation des deux modèles </w:t>
      </w:r>
    </w:p>
    <w:p w14:paraId="3EF5B1D4" w14:textId="07849222" w:rsidR="00057D2B" w:rsidRDefault="00057D2B" w:rsidP="00057D2B">
      <w:pPr>
        <w:pStyle w:val="Paragraphedeliste"/>
        <w:numPr>
          <w:ilvl w:val="1"/>
          <w:numId w:val="4"/>
        </w:numPr>
        <w:spacing w:beforeLines="160" w:before="384" w:beforeAutospacing="0" w:afterLines="160" w:after="384" w:afterAutospacing="0"/>
        <w:ind w:left="709"/>
        <w:contextualSpacing w:val="0"/>
        <w:rPr>
          <w:rFonts w:eastAsiaTheme="minorHAnsi"/>
        </w:rPr>
      </w:pPr>
      <w:r>
        <w:rPr>
          <w:rFonts w:eastAsiaTheme="minorHAnsi"/>
        </w:rPr>
        <w:t>À partir d</w:t>
      </w:r>
      <w:r>
        <w:rPr>
          <w:rFonts w:eastAsiaTheme="minorHAnsi"/>
        </w:rPr>
        <w:t>u support</w:t>
      </w:r>
      <w:r>
        <w:rPr>
          <w:rFonts w:eastAsiaTheme="minorHAnsi"/>
        </w:rPr>
        <w:t xml:space="preserve"> 3, indiquer quel modèle prédit le mieux les observations réalisées en différents endroits sur Terre.</w:t>
      </w:r>
    </w:p>
    <w:p w14:paraId="72B3DA18" w14:textId="77777777" w:rsidR="00057D2B" w:rsidRDefault="00057D2B" w:rsidP="00057D2B">
      <w:pPr>
        <w:pStyle w:val="Paragraphedeliste"/>
        <w:numPr>
          <w:ilvl w:val="1"/>
          <w:numId w:val="4"/>
        </w:numPr>
        <w:spacing w:beforeLines="160" w:before="384" w:beforeAutospacing="0" w:afterLines="160" w:after="384" w:afterAutospacing="0"/>
        <w:ind w:left="709"/>
        <w:contextualSpacing w:val="0"/>
        <w:rPr>
          <w:rFonts w:eastAsiaTheme="minorHAnsi"/>
        </w:rPr>
      </w:pPr>
      <w:r>
        <w:rPr>
          <w:rFonts w:eastAsiaTheme="minorHAnsi"/>
        </w:rPr>
        <w:t xml:space="preserve">Conclure quant à la validité de chacun des deux modèles. </w:t>
      </w:r>
    </w:p>
    <w:p w14:paraId="78C2C0E1" w14:textId="36F15053" w:rsidR="00057D2B" w:rsidRPr="00DB31F2" w:rsidRDefault="00057D2B" w:rsidP="00057D2B">
      <w:pPr>
        <w:pStyle w:val="Paragraphedeliste"/>
        <w:numPr>
          <w:ilvl w:val="1"/>
          <w:numId w:val="4"/>
        </w:numPr>
        <w:spacing w:beforeLines="160" w:before="384" w:beforeAutospacing="0" w:afterLines="160" w:after="384" w:afterAutospacing="0"/>
        <w:ind w:left="709"/>
        <w:contextualSpacing w:val="0"/>
        <w:rPr>
          <w:rFonts w:eastAsiaTheme="minorHAnsi"/>
        </w:rPr>
      </w:pPr>
      <w:r>
        <w:rPr>
          <w:rFonts w:eastAsiaTheme="minorHAnsi"/>
        </w:rPr>
        <w:t>Visionner la vidéo dont le lien est fourni dans l</w:t>
      </w:r>
      <w:r>
        <w:rPr>
          <w:rFonts w:eastAsiaTheme="minorHAnsi"/>
        </w:rPr>
        <w:t>e</w:t>
      </w:r>
      <w:r>
        <w:rPr>
          <w:rFonts w:eastAsiaTheme="minorHAnsi"/>
        </w:rPr>
        <w:t xml:space="preserve"> </w:t>
      </w:r>
      <w:r>
        <w:rPr>
          <w:rFonts w:eastAsiaTheme="minorHAnsi"/>
        </w:rPr>
        <w:t>support</w:t>
      </w:r>
      <w:r>
        <w:rPr>
          <w:rFonts w:eastAsiaTheme="minorHAnsi"/>
        </w:rPr>
        <w:t xml:space="preserve"> 5 puis, à l’aide des critères fournis dans </w:t>
      </w:r>
      <w:r>
        <w:rPr>
          <w:rFonts w:eastAsiaTheme="minorHAnsi"/>
        </w:rPr>
        <w:t>le support</w:t>
      </w:r>
      <w:r>
        <w:rPr>
          <w:rFonts w:eastAsiaTheme="minorHAnsi"/>
        </w:rPr>
        <w:t xml:space="preserve"> 4, expliquer en quoi le modèle de la Terre plate est pseudoscientifique.</w:t>
      </w:r>
    </w:p>
    <w:p w14:paraId="626E62CF" w14:textId="77777777" w:rsidR="00057D2B" w:rsidRPr="002F028A" w:rsidRDefault="00057D2B" w:rsidP="00057D2B">
      <w:pPr>
        <w:pStyle w:val="Titre1"/>
      </w:pPr>
      <w:bookmarkStart w:id="0" w:name="_Hlk180154631"/>
      <w:r>
        <w:t>Supports</w:t>
      </w:r>
    </w:p>
    <w:p w14:paraId="3FD18EC5" w14:textId="77777777" w:rsidR="00057D2B" w:rsidRPr="008A2747" w:rsidRDefault="00057D2B" w:rsidP="00057D2B">
      <w:pPr>
        <w:pStyle w:val="Titre3"/>
        <w:rPr>
          <w:rStyle w:val="Titre2Car"/>
        </w:rPr>
      </w:pPr>
      <w:r>
        <w:rPr>
          <w:rStyle w:val="Titre2Car"/>
        </w:rPr>
        <w:t>Support 1.</w:t>
      </w:r>
      <w:r w:rsidRPr="008A2747">
        <w:rPr>
          <w:rStyle w:val="Titre2Car"/>
        </w:rPr>
        <w:t xml:space="preserve"> </w:t>
      </w:r>
      <w:r>
        <w:rPr>
          <w:rStyle w:val="Titre2Car"/>
        </w:rPr>
        <w:t>Le modèle de la Terre « ronde ».</w:t>
      </w:r>
    </w:p>
    <w:bookmarkEnd w:id="0"/>
    <w:p w14:paraId="655EE0CC" w14:textId="77777777" w:rsidR="00057D2B" w:rsidRPr="00591C34" w:rsidRDefault="00057D2B" w:rsidP="00057D2B">
      <w:pPr>
        <w:rPr>
          <w:rFonts w:eastAsiaTheme="majorEastAsia"/>
        </w:rPr>
      </w:pPr>
      <w:r>
        <w:t xml:space="preserve">Dans ce modèle, la Terre est « ronde ». Elle tourne sur elle-même et se déplace sur une orbite autour du Soleil. La Lune tourne sur elle-même et se déplace sur une orbite autour de la Terre. </w:t>
      </w:r>
    </w:p>
    <w:p w14:paraId="03E2EC06" w14:textId="77777777" w:rsidR="00057D2B" w:rsidRDefault="00057D2B" w:rsidP="00057D2B">
      <w:r>
        <w:rPr>
          <w:noProof/>
          <w:lang w:eastAsia="zh-CN"/>
        </w:rPr>
        <w:drawing>
          <wp:inline distT="0" distB="0" distL="0" distR="0" wp14:anchorId="75001674" wp14:editId="1F6A5242">
            <wp:extent cx="4991100" cy="1970385"/>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017571" cy="1980835"/>
                    </a:xfrm>
                    <a:prstGeom prst="rect">
                      <a:avLst/>
                    </a:prstGeom>
                  </pic:spPr>
                </pic:pic>
              </a:graphicData>
            </a:graphic>
          </wp:inline>
        </w:drawing>
      </w:r>
    </w:p>
    <w:p w14:paraId="33854399" w14:textId="77777777" w:rsidR="00057D2B" w:rsidRPr="00E672DF" w:rsidRDefault="00057D2B" w:rsidP="00057D2B">
      <w:pPr>
        <w:pStyle w:val="Titre3"/>
        <w:rPr>
          <w:rStyle w:val="Titre2Car"/>
        </w:rPr>
      </w:pPr>
      <w:r>
        <w:rPr>
          <w:rStyle w:val="Titre2Car"/>
        </w:rPr>
        <w:t>Support</w:t>
      </w:r>
      <w:r w:rsidRPr="006A1F37">
        <w:rPr>
          <w:rStyle w:val="Titre2Car"/>
        </w:rPr>
        <w:t xml:space="preserve"> </w:t>
      </w:r>
      <w:r>
        <w:rPr>
          <w:rStyle w:val="Titre2Car"/>
        </w:rPr>
        <w:t>2. Le modèle de la Terre plate.</w:t>
      </w:r>
    </w:p>
    <w:p w14:paraId="1A7F1EE0" w14:textId="77777777" w:rsidR="00057D2B" w:rsidRDefault="00057D2B" w:rsidP="00057D2B">
      <w:r>
        <w:t xml:space="preserve">Dans le modèle de la Terre plate, la Lune et le Soleil se déplacent en orbite au-dessus de la Terre. L’Antarctique est un mur de glace qui entoure les océans et les continents. </w:t>
      </w:r>
    </w:p>
    <w:p w14:paraId="19D02622" w14:textId="77777777" w:rsidR="00057D2B" w:rsidRPr="00B1507E" w:rsidRDefault="00057D2B" w:rsidP="00057D2B">
      <w:pPr>
        <w:rPr>
          <w:rStyle w:val="Titre2Car"/>
          <w:b/>
          <w:bCs/>
          <w:iCs w:val="0"/>
          <w:color w:val="33AE90"/>
          <w:szCs w:val="28"/>
        </w:rPr>
      </w:pPr>
      <w:r>
        <w:rPr>
          <w:noProof/>
          <w:lang w:eastAsia="zh-CN"/>
        </w:rPr>
        <w:lastRenderedPageBreak/>
        <w:drawing>
          <wp:inline distT="0" distB="0" distL="0" distR="0" wp14:anchorId="4CE27A07" wp14:editId="27704665">
            <wp:extent cx="5410200" cy="248602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410200" cy="2486025"/>
                    </a:xfrm>
                    <a:prstGeom prst="rect">
                      <a:avLst/>
                    </a:prstGeom>
                  </pic:spPr>
                </pic:pic>
              </a:graphicData>
            </a:graphic>
          </wp:inline>
        </w:drawing>
      </w:r>
    </w:p>
    <w:p w14:paraId="6153A703" w14:textId="77777777" w:rsidR="00057D2B" w:rsidRPr="008A2747" w:rsidRDefault="00057D2B" w:rsidP="00057D2B">
      <w:pPr>
        <w:pStyle w:val="Titre3"/>
        <w:rPr>
          <w:rStyle w:val="Titre2Car"/>
        </w:rPr>
      </w:pPr>
      <w:r>
        <w:rPr>
          <w:rStyle w:val="Titre2Car"/>
        </w:rPr>
        <w:t>Support 3. La Lune vue de la Terre, à différentes latitudes</w:t>
      </w:r>
    </w:p>
    <w:p w14:paraId="613B14ED" w14:textId="77777777" w:rsidR="00057D2B" w:rsidRPr="00617816" w:rsidRDefault="00057D2B" w:rsidP="00057D2B">
      <w:r>
        <w:rPr>
          <w:noProof/>
          <w:lang w:eastAsia="zh-CN"/>
        </w:rPr>
        <w:drawing>
          <wp:inline distT="0" distB="0" distL="0" distR="0" wp14:anchorId="19496118" wp14:editId="2F1E8560">
            <wp:extent cx="3990975" cy="2494359"/>
            <wp:effectExtent l="0" t="0" r="0" b="1270"/>
            <wp:docPr id="35" name="Image 35" descr="File:Moon phases by latitud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Moon phases by latitude.sv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700" cy="2496687"/>
                    </a:xfrm>
                    <a:prstGeom prst="rect">
                      <a:avLst/>
                    </a:prstGeom>
                    <a:noFill/>
                    <a:ln>
                      <a:noFill/>
                    </a:ln>
                  </pic:spPr>
                </pic:pic>
              </a:graphicData>
            </a:graphic>
          </wp:inline>
        </w:drawing>
      </w:r>
    </w:p>
    <w:p w14:paraId="329EA516" w14:textId="77777777" w:rsidR="00057D2B" w:rsidRPr="00113B9E" w:rsidRDefault="00057D2B" w:rsidP="00057D2B">
      <w:pPr>
        <w:pStyle w:val="NormalWeb"/>
        <w:rPr>
          <w:rFonts w:ascii="Marianne" w:hAnsi="Marianne"/>
          <w:lang w:val="en-US"/>
        </w:rPr>
      </w:pPr>
      <w:r>
        <w:rPr>
          <w:rFonts w:ascii="Marianne" w:hAnsi="Marianne"/>
          <w:lang w:val="en-US"/>
        </w:rPr>
        <w:t xml:space="preserve">Source: </w:t>
      </w:r>
      <w:hyperlink r:id="rId15" w:history="1">
        <w:r w:rsidRPr="00520DA4">
          <w:rPr>
            <w:rStyle w:val="Lienhypertexte"/>
            <w:rFonts w:ascii="Marianne" w:eastAsiaTheme="majorEastAsia" w:hAnsi="Marianne"/>
            <w:lang w:val="en-US"/>
          </w:rPr>
          <w:t>site Wikipedia</w:t>
        </w:r>
      </w:hyperlink>
    </w:p>
    <w:p w14:paraId="0B30006E" w14:textId="77777777" w:rsidR="00057D2B" w:rsidRDefault="00057D2B" w:rsidP="00057D2B">
      <w:pPr>
        <w:pStyle w:val="Titre3"/>
        <w:rPr>
          <w:rStyle w:val="Titre2Car"/>
        </w:rPr>
      </w:pPr>
      <w:r>
        <w:rPr>
          <w:rStyle w:val="Titre2Car"/>
        </w:rPr>
        <w:t>Support 4.</w:t>
      </w:r>
      <w:r w:rsidRPr="008A2747">
        <w:rPr>
          <w:rStyle w:val="Titre2Car"/>
        </w:rPr>
        <w:t xml:space="preserve"> </w:t>
      </w:r>
      <w:r>
        <w:rPr>
          <w:rStyle w:val="Titre2Car"/>
        </w:rPr>
        <w:t>Distinguer science et pseudoscience</w:t>
      </w:r>
    </w:p>
    <w:p w14:paraId="4B8D41B8" w14:textId="77777777" w:rsidR="00057D2B" w:rsidRDefault="00057D2B" w:rsidP="00057D2B">
      <w:r>
        <w:t>Les sciences se caractérisent par certains principes dont celui de s’appuyer sur des démarches d’enquête visant à décrire et comprendre le monde au plus près de ce qu’il est. Ces démarches permettent de produire des connaissances scientifiques extrêmement fiables au regard des procédures mises en place pour les obtenir, mais qui peuvent être remises en cause suite à l’établissement de nouvelles connaissances. La communauté scientifique tente de s’organiser et de coopérer, au sein de chaque discipline – et parfois entre celles-ci – pour parvenir à des conclusions les plus fiables possibles, en procédant par essais et erreurs permanents, pour s’</w:t>
      </w:r>
      <w:proofErr w:type="spellStart"/>
      <w:r>
        <w:t>auto-corriger</w:t>
      </w:r>
      <w:proofErr w:type="spellEnd"/>
      <w:r>
        <w:t xml:space="preserve"> et dépasser les failles individuelles qui peuvent </w:t>
      </w:r>
      <w:proofErr w:type="spellStart"/>
      <w:r>
        <w:t>apparaître</w:t>
      </w:r>
      <w:proofErr w:type="spellEnd"/>
      <w:r>
        <w:t xml:space="preserve"> lors de chaque investigation.</w:t>
      </w:r>
    </w:p>
    <w:p w14:paraId="051F0DCF" w14:textId="77777777" w:rsidR="00057D2B" w:rsidRDefault="00057D2B" w:rsidP="00057D2B">
      <w:r>
        <w:lastRenderedPageBreak/>
        <w:t>A l’inverse, la plupart des pratiques pseudoscientifiques ne produisent pas de conclusions fiables sur le monde qui nous entoure. Elles se distinguent des pratiques scientifiques non seulement par leur manque de fiabilité et de cohérence, mais aussi par leur tendance à 1/ prendre la forme de discours scientifiques pour gagner en légitimité et 2/ tromper sur la réalité des phénomènes qu’elles tentent d’expliquer à l’aide de concepts et affirmations jamais avérées. S’il n’est pas toujours facile de distinguer science et pseudoscience, quelques caractéristiques sont communes à toute entreprise dite scientifique :</w:t>
      </w:r>
    </w:p>
    <w:p w14:paraId="13616923" w14:textId="77777777" w:rsidR="00057D2B" w:rsidRDefault="00057D2B" w:rsidP="00057D2B">
      <w:pPr>
        <w:ind w:left="708" w:hanging="708"/>
      </w:pPr>
      <w:r>
        <w:t>- l’</w:t>
      </w:r>
      <w:r w:rsidRPr="00A25D74">
        <w:rPr>
          <w:b/>
        </w:rPr>
        <w:t>universalité</w:t>
      </w:r>
      <w:r>
        <w:t xml:space="preserve"> : une </w:t>
      </w:r>
      <w:r w:rsidRPr="00070F69">
        <w:t>affirmation scientifique doit être vérifiée quel que soit le lieu où l’on en teste la validité</w:t>
      </w:r>
      <w:r>
        <w:t>. L’astrologie n’est pas exemple par applicable à certains endroits du globe, et plusieurs astrologies existent dans différentes cultures, avec des conclusions différentes voire opposées sur les signes astrologiques et les interprétations qui en découlent. En revanche, la théorie de la gravitation est valable quel que soit l’endroit où l’on se trouve sur Terre.</w:t>
      </w:r>
    </w:p>
    <w:p w14:paraId="1B0B1A44" w14:textId="77777777" w:rsidR="00057D2B" w:rsidRDefault="00057D2B" w:rsidP="00057D2B">
      <w:pPr>
        <w:ind w:left="708" w:hanging="708"/>
      </w:pPr>
      <w:r>
        <w:t xml:space="preserve">- la </w:t>
      </w:r>
      <w:r w:rsidRPr="00A25D74">
        <w:rPr>
          <w:b/>
        </w:rPr>
        <w:t>cohérence</w:t>
      </w:r>
      <w:r>
        <w:t> : une discipline scientifique n’entre pas en contradiction avec d’autres connaissances issues de champs scientifiques différents. Les principes de l’homéopathie sont, par exemple, incompatibles avec les fondements de la chimie actuelle, tout comme ceux de la lithothérapie le sont avec les lois de l’électromagnétisme.</w:t>
      </w:r>
    </w:p>
    <w:p w14:paraId="13FB5F2C" w14:textId="77777777" w:rsidR="00057D2B" w:rsidRDefault="00057D2B" w:rsidP="00057D2B">
      <w:pPr>
        <w:ind w:left="708" w:hanging="708"/>
      </w:pPr>
      <w:r>
        <w:t xml:space="preserve">- la </w:t>
      </w:r>
      <w:r w:rsidRPr="00A25D74">
        <w:rPr>
          <w:b/>
        </w:rPr>
        <w:t>réfutabilité</w:t>
      </w:r>
      <w:r>
        <w:t> : une discipline scientifique peut produire prédictions qui sont testables, c’est-à-dire susceptibles d’être fausses et donc réfutées expérimentalement, par confrontation avec la réalité. Certaines affirmations psychanalytiques sont par exemple immunisées contre toute forme de réfutation, ne produisant que des énoncés irréfutables.</w:t>
      </w:r>
    </w:p>
    <w:p w14:paraId="2D7EE4DD" w14:textId="77777777" w:rsidR="00057D2B" w:rsidRDefault="00057D2B" w:rsidP="00057D2B">
      <w:pPr>
        <w:ind w:left="708" w:hanging="708"/>
      </w:pPr>
      <w:r>
        <w:t xml:space="preserve">- la </w:t>
      </w:r>
      <w:r w:rsidRPr="00A25D74">
        <w:rPr>
          <w:b/>
        </w:rPr>
        <w:t>reproductibilité</w:t>
      </w:r>
      <w:r>
        <w:t xml:space="preserve"> : les résultats obtenus par une équipe de chercheurs doivent pouvoir l’être par d’autres équipes indépendantes. La réplication est nécessaire pour confirmer les premières données récoltées. Ainsi, les résultats obtenus par l’équipe du professeur </w:t>
      </w:r>
      <w:proofErr w:type="spellStart"/>
      <w:r>
        <w:t>Masuru</w:t>
      </w:r>
      <w:proofErr w:type="spellEnd"/>
      <w:r>
        <w:t xml:space="preserve"> </w:t>
      </w:r>
      <w:proofErr w:type="spellStart"/>
      <w:r>
        <w:t>Emoto</w:t>
      </w:r>
      <w:proofErr w:type="spellEnd"/>
      <w:r>
        <w:t xml:space="preserve"> sur le lien entre pensées et forme des cristaux de molécules d’eau n’ont jamais été répliqués.</w:t>
      </w:r>
    </w:p>
    <w:p w14:paraId="781ECFDE" w14:textId="77777777" w:rsidR="00057D2B" w:rsidRDefault="00057D2B" w:rsidP="00057D2B">
      <w:pPr>
        <w:ind w:left="708" w:hanging="708"/>
      </w:pPr>
      <w:r>
        <w:t xml:space="preserve">- le </w:t>
      </w:r>
      <w:r w:rsidRPr="00A25D74">
        <w:rPr>
          <w:b/>
        </w:rPr>
        <w:t xml:space="preserve">matérialisme méthodologique </w:t>
      </w:r>
      <w:r>
        <w:t>: les entités qui sont étudiées en science doivent pouvoir être mesurées ou observées, accessible à l’enquête, afin d’entrer dans le processus d’enquête scientifique. Une « énergie » inconnue, non mesurable, ne laissant aucune trace, n’interagissant avec rien ni personne, ne pourrait ainsi jamais être étudiée et donc objectivée. S’il est impossible de déclarer qu’elle n’existe pas, elle ne peut être l’objet d’une analyse scientifique.</w:t>
      </w:r>
    </w:p>
    <w:p w14:paraId="511972D4" w14:textId="77777777" w:rsidR="00057D2B" w:rsidRDefault="00057D2B" w:rsidP="00057D2B">
      <w:pPr>
        <w:pStyle w:val="Titre3"/>
        <w:rPr>
          <w:rStyle w:val="Titre2Car"/>
        </w:rPr>
      </w:pPr>
      <w:r>
        <w:rPr>
          <w:rStyle w:val="Titre2Car"/>
        </w:rPr>
        <w:t>Support 5. Platistes : rencontre avec ceux qui croient que la Terre est plate</w:t>
      </w:r>
    </w:p>
    <w:p w14:paraId="34C1C737" w14:textId="29B2E4A8" w:rsidR="00FA4920" w:rsidRPr="00057D2B" w:rsidRDefault="00057D2B" w:rsidP="00057D2B">
      <w:pPr>
        <w:rPr>
          <w:color w:val="0000FF"/>
          <w:u w:val="single"/>
        </w:rPr>
      </w:pPr>
      <w:hyperlink r:id="rId16" w:history="1">
        <w:r w:rsidRPr="000978F7">
          <w:rPr>
            <w:rStyle w:val="Lienhypertexte"/>
            <w:rFonts w:eastAsiaTheme="majorEastAsia"/>
          </w:rPr>
          <w:t>Extrait d’un reportage</w:t>
        </w:r>
      </w:hyperlink>
      <w:r>
        <w:t xml:space="preserve"> du journal télévisé de France 2</w:t>
      </w:r>
    </w:p>
    <w:sectPr w:rsidR="00FA4920" w:rsidRPr="00057D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04290" w14:textId="77777777" w:rsidR="00057D2B" w:rsidRDefault="00057D2B" w:rsidP="00057D2B">
      <w:pPr>
        <w:spacing w:before="0" w:after="0"/>
      </w:pPr>
      <w:r>
        <w:separator/>
      </w:r>
    </w:p>
  </w:endnote>
  <w:endnote w:type="continuationSeparator" w:id="0">
    <w:p w14:paraId="6686B1DF" w14:textId="77777777" w:rsidR="00057D2B" w:rsidRDefault="00057D2B" w:rsidP="00057D2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arianne Medium">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24D7C" w14:textId="77777777" w:rsidR="00057D2B" w:rsidRDefault="00057D2B" w:rsidP="00057D2B">
      <w:pPr>
        <w:spacing w:before="0" w:after="0"/>
      </w:pPr>
      <w:r>
        <w:separator/>
      </w:r>
    </w:p>
  </w:footnote>
  <w:footnote w:type="continuationSeparator" w:id="0">
    <w:p w14:paraId="1206DF18" w14:textId="77777777" w:rsidR="00057D2B" w:rsidRDefault="00057D2B" w:rsidP="00057D2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723B"/>
    <w:multiLevelType w:val="hybridMultilevel"/>
    <w:tmpl w:val="33D61B0A"/>
    <w:lvl w:ilvl="0" w:tplc="4978E54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AE2FA3"/>
    <w:multiLevelType w:val="hybridMultilevel"/>
    <w:tmpl w:val="1EE6B76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08A172D"/>
    <w:multiLevelType w:val="hybridMultilevel"/>
    <w:tmpl w:val="8334D90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691B08F4"/>
    <w:multiLevelType w:val="hybridMultilevel"/>
    <w:tmpl w:val="BC0EF88C"/>
    <w:lvl w:ilvl="0" w:tplc="040C000F">
      <w:start w:val="1"/>
      <w:numFmt w:val="decimal"/>
      <w:lvlText w:val="%1."/>
      <w:lvlJc w:val="left"/>
      <w:pPr>
        <w:ind w:left="720" w:hanging="360"/>
      </w:pPr>
      <w:rPr>
        <w:rFonts w:hint="default"/>
        <w:b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13054539">
    <w:abstractNumId w:val="3"/>
  </w:num>
  <w:num w:numId="2" w16cid:durableId="649482684">
    <w:abstractNumId w:val="1"/>
  </w:num>
  <w:num w:numId="3" w16cid:durableId="290674911">
    <w:abstractNumId w:val="0"/>
  </w:num>
  <w:num w:numId="4" w16cid:durableId="3398196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D2B"/>
    <w:rsid w:val="00057D2B"/>
    <w:rsid w:val="000C3BC0"/>
    <w:rsid w:val="00347E7B"/>
    <w:rsid w:val="006013ED"/>
    <w:rsid w:val="0062663D"/>
    <w:rsid w:val="00717EE1"/>
    <w:rsid w:val="00DC3310"/>
    <w:rsid w:val="00FA4920"/>
    <w:rsid w:val="00FF5D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B6F00"/>
  <w15:chartTrackingRefBased/>
  <w15:docId w15:val="{9B93C711-D6A8-4449-86E5-99FE751BB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D2B"/>
    <w:pPr>
      <w:shd w:val="clear" w:color="auto" w:fill="FFFFFF"/>
      <w:spacing w:before="100" w:beforeAutospacing="1" w:after="100" w:afterAutospacing="1"/>
    </w:pPr>
    <w:rPr>
      <w:rFonts w:ascii="Marianne" w:eastAsia="Times New Roman" w:hAnsi="Marianne" w:cs="Arial"/>
      <w:iCs/>
      <w:color w:val="252525"/>
      <w:sz w:val="22"/>
      <w:szCs w:val="22"/>
      <w:lang w:eastAsia="fr-FR"/>
    </w:rPr>
  </w:style>
  <w:style w:type="paragraph" w:styleId="Titre1">
    <w:name w:val="heading 1"/>
    <w:basedOn w:val="Normal"/>
    <w:next w:val="Normal"/>
    <w:link w:val="Titre1Car"/>
    <w:uiPriority w:val="9"/>
    <w:qFormat/>
    <w:rsid w:val="00057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057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62663D"/>
    <w:pPr>
      <w:keepNext/>
      <w:spacing w:before="120"/>
      <w:outlineLvl w:val="2"/>
    </w:pPr>
    <w:rPr>
      <w:b/>
    </w:rPr>
  </w:style>
  <w:style w:type="paragraph" w:styleId="Titre4">
    <w:name w:val="heading 4"/>
    <w:basedOn w:val="Normal"/>
    <w:next w:val="Normal"/>
    <w:link w:val="Titre4Car"/>
    <w:uiPriority w:val="9"/>
    <w:semiHidden/>
    <w:unhideWhenUsed/>
    <w:qFormat/>
    <w:rsid w:val="00057D2B"/>
    <w:pPr>
      <w:keepNext/>
      <w:keepLines/>
      <w:spacing w:before="80" w:after="40"/>
      <w:outlineLvl w:val="3"/>
    </w:pPr>
    <w:rPr>
      <w:rFonts w:asciiTheme="minorHAnsi" w:eastAsiaTheme="majorEastAsia" w:hAnsiTheme="minorHAnsi" w:cstheme="majorBidi"/>
      <w:i/>
      <w:iCs w:val="0"/>
      <w:color w:val="0F4761" w:themeColor="accent1" w:themeShade="BF"/>
    </w:rPr>
  </w:style>
  <w:style w:type="paragraph" w:styleId="Titre5">
    <w:name w:val="heading 5"/>
    <w:basedOn w:val="Normal"/>
    <w:next w:val="Normal"/>
    <w:link w:val="Titre5Car"/>
    <w:uiPriority w:val="9"/>
    <w:semiHidden/>
    <w:unhideWhenUsed/>
    <w:qFormat/>
    <w:rsid w:val="00057D2B"/>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057D2B"/>
    <w:pPr>
      <w:keepNext/>
      <w:keepLines/>
      <w:spacing w:before="40"/>
      <w:outlineLvl w:val="5"/>
    </w:pPr>
    <w:rPr>
      <w:rFonts w:asciiTheme="minorHAnsi" w:eastAsiaTheme="majorEastAsia" w:hAnsiTheme="minorHAnsi" w:cstheme="majorBidi"/>
      <w:i/>
      <w:iCs w:val="0"/>
      <w:color w:val="595959" w:themeColor="text1" w:themeTint="A6"/>
    </w:rPr>
  </w:style>
  <w:style w:type="paragraph" w:styleId="Titre7">
    <w:name w:val="heading 7"/>
    <w:basedOn w:val="Normal"/>
    <w:next w:val="Normal"/>
    <w:link w:val="Titre7Car"/>
    <w:uiPriority w:val="9"/>
    <w:semiHidden/>
    <w:unhideWhenUsed/>
    <w:qFormat/>
    <w:rsid w:val="00057D2B"/>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057D2B"/>
    <w:pPr>
      <w:keepNext/>
      <w:keepLines/>
      <w:outlineLvl w:val="7"/>
    </w:pPr>
    <w:rPr>
      <w:rFonts w:asciiTheme="minorHAnsi" w:eastAsiaTheme="majorEastAsia" w:hAnsiTheme="minorHAnsi" w:cstheme="majorBidi"/>
      <w:i/>
      <w:iCs w:val="0"/>
      <w:color w:val="272727" w:themeColor="text1" w:themeTint="D8"/>
    </w:rPr>
  </w:style>
  <w:style w:type="paragraph" w:styleId="Titre9">
    <w:name w:val="heading 9"/>
    <w:basedOn w:val="Normal"/>
    <w:next w:val="Normal"/>
    <w:link w:val="Titre9Car"/>
    <w:uiPriority w:val="9"/>
    <w:semiHidden/>
    <w:unhideWhenUsed/>
    <w:qFormat/>
    <w:rsid w:val="00057D2B"/>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3"/>
    <w:link w:val="Style1Car"/>
    <w:qFormat/>
    <w:rsid w:val="0062663D"/>
    <w:rPr>
      <w:rFonts w:ascii="Arial" w:hAnsi="Arial"/>
      <w:sz w:val="24"/>
    </w:rPr>
  </w:style>
  <w:style w:type="character" w:customStyle="1" w:styleId="Style1Car">
    <w:name w:val="Style1 Car"/>
    <w:basedOn w:val="Titre3Car"/>
    <w:link w:val="Style1"/>
    <w:rsid w:val="0062663D"/>
    <w:rPr>
      <w:rFonts w:ascii="Arial" w:hAnsi="Arial" w:cs="Arial"/>
      <w:b/>
      <w:sz w:val="24"/>
      <w:szCs w:val="24"/>
    </w:rPr>
  </w:style>
  <w:style w:type="character" w:customStyle="1" w:styleId="Titre3Car">
    <w:name w:val="Titre 3 Car"/>
    <w:basedOn w:val="Policepardfaut"/>
    <w:link w:val="Titre3"/>
    <w:uiPriority w:val="9"/>
    <w:rsid w:val="0062663D"/>
    <w:rPr>
      <w:rFonts w:ascii="Marianne" w:hAnsi="Marianne"/>
      <w:b/>
    </w:rPr>
  </w:style>
  <w:style w:type="character" w:styleId="Lienhypertexte">
    <w:name w:val="Hyperlink"/>
    <w:basedOn w:val="Policepardfaut"/>
    <w:uiPriority w:val="99"/>
    <w:unhideWhenUsed/>
    <w:rsid w:val="0062663D"/>
    <w:rPr>
      <w:color w:val="467886" w:themeColor="hyperlink"/>
      <w:u w:val="single"/>
    </w:rPr>
  </w:style>
  <w:style w:type="character" w:styleId="Lienhypertextesuivivisit">
    <w:name w:val="FollowedHyperlink"/>
    <w:basedOn w:val="Policepardfaut"/>
    <w:uiPriority w:val="99"/>
    <w:semiHidden/>
    <w:unhideWhenUsed/>
    <w:rsid w:val="0062663D"/>
    <w:rPr>
      <w:color w:val="96607D" w:themeColor="followedHyperlink"/>
      <w:u w:val="single"/>
    </w:rPr>
  </w:style>
  <w:style w:type="paragraph" w:styleId="NormalWeb">
    <w:name w:val="Normal (Web)"/>
    <w:basedOn w:val="Normal"/>
    <w:uiPriority w:val="99"/>
    <w:unhideWhenUsed/>
    <w:rsid w:val="0062663D"/>
    <w:pPr>
      <w:spacing w:after="142" w:line="276" w:lineRule="auto"/>
    </w:pPr>
    <w:rPr>
      <w:rFonts w:ascii="Times New Roman" w:hAnsi="Times New Roman"/>
    </w:rPr>
  </w:style>
  <w:style w:type="character" w:styleId="Textedelespacerserv">
    <w:name w:val="Placeholder Text"/>
    <w:basedOn w:val="Policepardfaut"/>
    <w:uiPriority w:val="99"/>
    <w:semiHidden/>
    <w:rsid w:val="0062663D"/>
    <w:rPr>
      <w:color w:val="666666"/>
    </w:rPr>
  </w:style>
  <w:style w:type="paragraph" w:styleId="Paragraphedeliste">
    <w:name w:val="List Paragraph"/>
    <w:basedOn w:val="Normal"/>
    <w:uiPriority w:val="34"/>
    <w:qFormat/>
    <w:rsid w:val="0062663D"/>
    <w:pPr>
      <w:ind w:left="720"/>
      <w:contextualSpacing/>
    </w:pPr>
  </w:style>
  <w:style w:type="character" w:styleId="Mentionnonrsolue">
    <w:name w:val="Unresolved Mention"/>
    <w:basedOn w:val="Policepardfaut"/>
    <w:uiPriority w:val="99"/>
    <w:semiHidden/>
    <w:unhideWhenUsed/>
    <w:rsid w:val="0062663D"/>
    <w:rPr>
      <w:color w:val="605E5C"/>
      <w:shd w:val="clear" w:color="auto" w:fill="E1DFDD"/>
    </w:rPr>
  </w:style>
  <w:style w:type="paragraph" w:customStyle="1" w:styleId="Style2">
    <w:name w:val="Style2"/>
    <w:basedOn w:val="Titre3"/>
    <w:link w:val="Style2Car"/>
    <w:autoRedefine/>
    <w:qFormat/>
    <w:rsid w:val="0062663D"/>
    <w:pPr>
      <w:spacing w:after="240" w:line="260" w:lineRule="atLeast"/>
    </w:pPr>
    <w:rPr>
      <w:rFonts w:ascii="Arial" w:hAnsi="Arial"/>
    </w:rPr>
  </w:style>
  <w:style w:type="character" w:customStyle="1" w:styleId="Style2Car">
    <w:name w:val="Style2 Car"/>
    <w:basedOn w:val="Titre3Car"/>
    <w:link w:val="Style2"/>
    <w:rsid w:val="0062663D"/>
    <w:rPr>
      <w:rFonts w:ascii="Arial" w:hAnsi="Arial" w:cs="Arial"/>
      <w:b/>
      <w:sz w:val="22"/>
      <w:szCs w:val="22"/>
    </w:rPr>
  </w:style>
  <w:style w:type="character" w:customStyle="1" w:styleId="Titre1Car">
    <w:name w:val="Titre 1 Car"/>
    <w:basedOn w:val="Policepardfaut"/>
    <w:link w:val="Titre1"/>
    <w:uiPriority w:val="9"/>
    <w:rsid w:val="00057D2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057D2B"/>
    <w:rPr>
      <w:rFonts w:asciiTheme="majorHAnsi" w:eastAsiaTheme="majorEastAsia" w:hAnsiTheme="majorHAnsi" w:cstheme="majorBidi"/>
      <w:color w:val="0F4761" w:themeColor="accent1" w:themeShade="BF"/>
      <w:sz w:val="32"/>
      <w:szCs w:val="32"/>
    </w:rPr>
  </w:style>
  <w:style w:type="character" w:customStyle="1" w:styleId="Titre4Car">
    <w:name w:val="Titre 4 Car"/>
    <w:basedOn w:val="Policepardfaut"/>
    <w:link w:val="Titre4"/>
    <w:uiPriority w:val="9"/>
    <w:semiHidden/>
    <w:rsid w:val="00057D2B"/>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057D2B"/>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057D2B"/>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057D2B"/>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057D2B"/>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057D2B"/>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057D2B"/>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57D2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57D2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57D2B"/>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057D2B"/>
    <w:pPr>
      <w:spacing w:before="160" w:after="160"/>
      <w:jc w:val="center"/>
    </w:pPr>
    <w:rPr>
      <w:i/>
      <w:iCs w:val="0"/>
      <w:color w:val="404040" w:themeColor="text1" w:themeTint="BF"/>
    </w:rPr>
  </w:style>
  <w:style w:type="character" w:customStyle="1" w:styleId="CitationCar">
    <w:name w:val="Citation Car"/>
    <w:basedOn w:val="Policepardfaut"/>
    <w:link w:val="Citation"/>
    <w:uiPriority w:val="29"/>
    <w:rsid w:val="00057D2B"/>
    <w:rPr>
      <w:i/>
      <w:iCs/>
      <w:color w:val="404040" w:themeColor="text1" w:themeTint="BF"/>
    </w:rPr>
  </w:style>
  <w:style w:type="character" w:styleId="Accentuationintense">
    <w:name w:val="Intense Emphasis"/>
    <w:basedOn w:val="Policepardfaut"/>
    <w:uiPriority w:val="21"/>
    <w:qFormat/>
    <w:rsid w:val="00057D2B"/>
    <w:rPr>
      <w:i/>
      <w:iCs/>
      <w:color w:val="0F4761" w:themeColor="accent1" w:themeShade="BF"/>
    </w:rPr>
  </w:style>
  <w:style w:type="paragraph" w:styleId="Citationintense">
    <w:name w:val="Intense Quote"/>
    <w:basedOn w:val="Normal"/>
    <w:next w:val="Normal"/>
    <w:link w:val="CitationintenseCar"/>
    <w:uiPriority w:val="30"/>
    <w:qFormat/>
    <w:rsid w:val="00057D2B"/>
    <w:pPr>
      <w:pBdr>
        <w:top w:val="single" w:sz="4" w:space="10" w:color="0F4761" w:themeColor="accent1" w:themeShade="BF"/>
        <w:bottom w:val="single" w:sz="4" w:space="10" w:color="0F4761" w:themeColor="accent1" w:themeShade="BF"/>
      </w:pBdr>
      <w:spacing w:before="360" w:after="360"/>
      <w:ind w:left="864" w:right="864"/>
      <w:jc w:val="center"/>
    </w:pPr>
    <w:rPr>
      <w:i/>
      <w:iCs w:val="0"/>
      <w:color w:val="0F4761" w:themeColor="accent1" w:themeShade="BF"/>
    </w:rPr>
  </w:style>
  <w:style w:type="character" w:customStyle="1" w:styleId="CitationintenseCar">
    <w:name w:val="Citation intense Car"/>
    <w:basedOn w:val="Policepardfaut"/>
    <w:link w:val="Citationintense"/>
    <w:uiPriority w:val="30"/>
    <w:rsid w:val="00057D2B"/>
    <w:rPr>
      <w:i/>
      <w:iCs/>
      <w:color w:val="0F4761" w:themeColor="accent1" w:themeShade="BF"/>
    </w:rPr>
  </w:style>
  <w:style w:type="character" w:styleId="Rfrenceintense">
    <w:name w:val="Intense Reference"/>
    <w:basedOn w:val="Policepardfaut"/>
    <w:uiPriority w:val="32"/>
    <w:qFormat/>
    <w:rsid w:val="00057D2B"/>
    <w:rPr>
      <w:b/>
      <w:bCs/>
      <w:smallCaps/>
      <w:color w:val="0F4761" w:themeColor="accent1" w:themeShade="BF"/>
      <w:spacing w:val="5"/>
    </w:rPr>
  </w:style>
  <w:style w:type="paragraph" w:styleId="En-tte">
    <w:name w:val="header"/>
    <w:basedOn w:val="Normal"/>
    <w:link w:val="En-tteCar"/>
    <w:uiPriority w:val="99"/>
    <w:unhideWhenUsed/>
    <w:rsid w:val="00057D2B"/>
    <w:pPr>
      <w:tabs>
        <w:tab w:val="center" w:pos="4536"/>
        <w:tab w:val="right" w:pos="9072"/>
      </w:tabs>
    </w:pPr>
  </w:style>
  <w:style w:type="character" w:customStyle="1" w:styleId="En-tteCar">
    <w:name w:val="En-tête Car"/>
    <w:basedOn w:val="Policepardfaut"/>
    <w:link w:val="En-tte"/>
    <w:uiPriority w:val="99"/>
    <w:rsid w:val="00057D2B"/>
  </w:style>
  <w:style w:type="paragraph" w:styleId="Pieddepage">
    <w:name w:val="footer"/>
    <w:basedOn w:val="Normal"/>
    <w:link w:val="PieddepageCar"/>
    <w:uiPriority w:val="99"/>
    <w:unhideWhenUsed/>
    <w:rsid w:val="00057D2B"/>
    <w:pPr>
      <w:tabs>
        <w:tab w:val="center" w:pos="4536"/>
        <w:tab w:val="right" w:pos="9072"/>
      </w:tabs>
    </w:pPr>
  </w:style>
  <w:style w:type="character" w:customStyle="1" w:styleId="PieddepageCar">
    <w:name w:val="Pied de page Car"/>
    <w:basedOn w:val="Policepardfaut"/>
    <w:link w:val="Pieddepage"/>
    <w:uiPriority w:val="99"/>
    <w:rsid w:val="00057D2B"/>
  </w:style>
  <w:style w:type="paragraph" w:customStyle="1" w:styleId="Encadrfond">
    <w:name w:val="Encadré fond"/>
    <w:basedOn w:val="Normal"/>
    <w:qFormat/>
    <w:rsid w:val="00057D2B"/>
    <w:pPr>
      <w:shd w:val="clear" w:color="auto" w:fill="CFD5E8"/>
    </w:pPr>
  </w:style>
  <w:style w:type="paragraph" w:customStyle="1" w:styleId="Titredudocument">
    <w:name w:val="Titre du document"/>
    <w:basedOn w:val="Normal"/>
    <w:qFormat/>
    <w:rsid w:val="00057D2B"/>
    <w:pPr>
      <w:suppressAutoHyphens/>
    </w:pPr>
    <w:rPr>
      <w:sz w:val="56"/>
      <w:szCs w:val="56"/>
    </w:rPr>
  </w:style>
  <w:style w:type="character" w:styleId="Marquedecommentaire">
    <w:name w:val="annotation reference"/>
    <w:basedOn w:val="Policepardfaut"/>
    <w:uiPriority w:val="99"/>
    <w:semiHidden/>
    <w:unhideWhenUsed/>
    <w:rsid w:val="00057D2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Rx6CPqHhe8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en.m.wikipedia.org/wiki/File:Moon_phases_by_latitude.svg"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1154</Words>
  <Characters>6351</Characters>
  <Application>Microsoft Office Word</Application>
  <DocSecurity>0</DocSecurity>
  <Lines>52</Lines>
  <Paragraphs>14</Paragraphs>
  <ScaleCrop>false</ScaleCrop>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A3-3</dc:creator>
  <cp:keywords/>
  <dc:description/>
  <cp:lastModifiedBy>A3-3</cp:lastModifiedBy>
  <cp:revision>1</cp:revision>
  <dcterms:created xsi:type="dcterms:W3CDTF">2026-07-17T13:56:00Z</dcterms:created>
  <dcterms:modified xsi:type="dcterms:W3CDTF">2026-07-17T14:04:00Z</dcterms:modified>
</cp:coreProperties>
</file>